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5FC" w:rsidRPr="008B35FC" w:rsidRDefault="007002B2" w:rsidP="008B35FC">
      <w:pPr>
        <w:spacing w:line="276" w:lineRule="auto"/>
        <w:jc w:val="center"/>
        <w:rPr>
          <w:rFonts w:ascii="Arial" w:hAnsi="Arial" w:cs="Arial"/>
          <w:b/>
          <w:sz w:val="24"/>
          <w:szCs w:val="24"/>
        </w:rPr>
      </w:pPr>
      <w:r w:rsidRPr="007002B2">
        <w:rPr>
          <w:noProof/>
          <w:lang w:eastAsia="fr-FR"/>
        </w:rPr>
        <w:drawing>
          <wp:anchor distT="0" distB="0" distL="114300" distR="114300" simplePos="0" relativeHeight="251658240" behindDoc="0" locked="0" layoutInCell="1" allowOverlap="1">
            <wp:simplePos x="0" y="0"/>
            <wp:positionH relativeFrom="column">
              <wp:posOffset>-793115</wp:posOffset>
            </wp:positionH>
            <wp:positionV relativeFrom="paragraph">
              <wp:posOffset>-801634</wp:posOffset>
            </wp:positionV>
            <wp:extent cx="7198106" cy="1414732"/>
            <wp:effectExtent l="0" t="0" r="317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8106" cy="14147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35FC" w:rsidRPr="008B35FC" w:rsidRDefault="008B35FC" w:rsidP="008B35FC">
      <w:pPr>
        <w:spacing w:line="276" w:lineRule="auto"/>
        <w:jc w:val="center"/>
        <w:rPr>
          <w:rFonts w:ascii="Arial" w:hAnsi="Arial" w:cs="Arial"/>
          <w:b/>
          <w:sz w:val="24"/>
          <w:szCs w:val="24"/>
        </w:rPr>
      </w:pPr>
    </w:p>
    <w:p w:rsidR="008B35FC" w:rsidRPr="007002B2" w:rsidRDefault="008B35FC" w:rsidP="008B35FC">
      <w:pPr>
        <w:spacing w:line="276" w:lineRule="auto"/>
        <w:jc w:val="center"/>
        <w:rPr>
          <w:rFonts w:ascii="Arial" w:hAnsi="Arial" w:cs="Arial"/>
          <w:b/>
          <w:sz w:val="14"/>
          <w:szCs w:val="24"/>
          <w:u w:val="single"/>
        </w:rPr>
      </w:pPr>
    </w:p>
    <w:p w:rsidR="00072523" w:rsidRDefault="00072523" w:rsidP="00D61690">
      <w:pPr>
        <w:spacing w:line="276" w:lineRule="auto"/>
        <w:jc w:val="center"/>
        <w:rPr>
          <w:rFonts w:ascii="Arial" w:hAnsi="Arial" w:cs="Arial"/>
          <w:b/>
          <w:sz w:val="24"/>
          <w:szCs w:val="24"/>
          <w:u w:val="single"/>
        </w:rPr>
      </w:pPr>
      <w:r w:rsidRPr="00072523">
        <w:rPr>
          <w:rFonts w:ascii="Arial" w:hAnsi="Arial" w:cs="Arial"/>
          <w:b/>
          <w:sz w:val="24"/>
          <w:szCs w:val="24"/>
          <w:u w:val="single"/>
        </w:rPr>
        <w:t>Célébration de la Journée Internationale de la Justice Pénale Internationale</w:t>
      </w:r>
    </w:p>
    <w:p w:rsidR="003B655D" w:rsidRPr="003B655D" w:rsidRDefault="003B655D" w:rsidP="00D61690">
      <w:pPr>
        <w:spacing w:line="276" w:lineRule="auto"/>
        <w:jc w:val="center"/>
        <w:rPr>
          <w:rFonts w:ascii="Arial" w:hAnsi="Arial" w:cs="Arial"/>
          <w:b/>
          <w:sz w:val="24"/>
          <w:szCs w:val="24"/>
        </w:rPr>
      </w:pPr>
      <w:r w:rsidRPr="003B655D">
        <w:rPr>
          <w:rFonts w:ascii="Arial" w:hAnsi="Arial" w:cs="Arial"/>
          <w:b/>
          <w:sz w:val="24"/>
          <w:szCs w:val="24"/>
        </w:rPr>
        <w:t>17 juillet 2021</w:t>
      </w:r>
    </w:p>
    <w:p w:rsidR="007002B2" w:rsidRPr="00072523" w:rsidRDefault="00072523" w:rsidP="00072523">
      <w:pPr>
        <w:spacing w:line="276" w:lineRule="auto"/>
        <w:jc w:val="center"/>
        <w:rPr>
          <w:rFonts w:ascii="Arial" w:hAnsi="Arial" w:cs="Arial"/>
          <w:b/>
          <w:sz w:val="24"/>
          <w:szCs w:val="24"/>
          <w:u w:val="single"/>
        </w:rPr>
      </w:pPr>
      <w:r w:rsidRPr="00072523">
        <w:rPr>
          <w:rFonts w:ascii="Arial" w:hAnsi="Arial" w:cs="Arial"/>
          <w:b/>
          <w:sz w:val="24"/>
          <w:szCs w:val="24"/>
          <w:u w:val="single"/>
        </w:rPr>
        <w:t>Déclaration</w:t>
      </w:r>
      <w:r w:rsidR="00DB1A73">
        <w:rPr>
          <w:rFonts w:ascii="Arial" w:hAnsi="Arial" w:cs="Arial"/>
          <w:b/>
          <w:sz w:val="24"/>
          <w:szCs w:val="24"/>
          <w:u w:val="single"/>
        </w:rPr>
        <w:t xml:space="preserve"> N°006</w:t>
      </w:r>
      <w:r w:rsidR="00396B47">
        <w:rPr>
          <w:rFonts w:ascii="Arial" w:hAnsi="Arial" w:cs="Arial"/>
          <w:b/>
          <w:sz w:val="24"/>
          <w:szCs w:val="24"/>
          <w:u w:val="single"/>
        </w:rPr>
        <w:t>/</w:t>
      </w:r>
      <w:r w:rsidRPr="00072523">
        <w:rPr>
          <w:rFonts w:ascii="Arial" w:hAnsi="Arial" w:cs="Arial"/>
          <w:b/>
          <w:sz w:val="24"/>
          <w:szCs w:val="24"/>
          <w:u w:val="single"/>
        </w:rPr>
        <w:t>CGCPI /2021</w:t>
      </w:r>
    </w:p>
    <w:p w:rsidR="007002B2" w:rsidRPr="00F32449" w:rsidRDefault="00F32449" w:rsidP="007002B2">
      <w:pPr>
        <w:rPr>
          <w:rFonts w:ascii="Arial" w:hAnsi="Arial" w:cs="Arial"/>
          <w:b/>
          <w:sz w:val="24"/>
          <w:szCs w:val="24"/>
          <w:u w:val="single"/>
        </w:rPr>
      </w:pPr>
      <w:r w:rsidRPr="00F32449">
        <w:rPr>
          <w:rFonts w:ascii="Arial" w:hAnsi="Arial" w:cs="Arial"/>
          <w:b/>
          <w:sz w:val="24"/>
          <w:szCs w:val="24"/>
          <w:u w:val="single"/>
        </w:rPr>
        <w:t xml:space="preserve">« La complémentarité comme </w:t>
      </w:r>
      <w:r>
        <w:rPr>
          <w:rFonts w:ascii="Arial" w:hAnsi="Arial" w:cs="Arial"/>
          <w:b/>
          <w:sz w:val="24"/>
          <w:szCs w:val="24"/>
          <w:u w:val="single"/>
        </w:rPr>
        <w:t>l’</w:t>
      </w:r>
      <w:r w:rsidRPr="00F32449">
        <w:rPr>
          <w:rFonts w:ascii="Arial" w:hAnsi="Arial" w:cs="Arial"/>
          <w:b/>
          <w:sz w:val="24"/>
          <w:szCs w:val="24"/>
          <w:u w:val="single"/>
        </w:rPr>
        <w:t xml:space="preserve">un des moyens pour désengorger la CPI » </w:t>
      </w:r>
    </w:p>
    <w:p w:rsidR="00072523" w:rsidRDefault="00072523" w:rsidP="00C41B92">
      <w:pPr>
        <w:spacing w:line="240" w:lineRule="auto"/>
        <w:jc w:val="both"/>
        <w:rPr>
          <w:rFonts w:ascii="Arial" w:hAnsi="Arial" w:cs="Arial"/>
          <w:sz w:val="24"/>
          <w:szCs w:val="24"/>
        </w:rPr>
      </w:pPr>
      <w:r>
        <w:rPr>
          <w:rFonts w:ascii="Arial" w:hAnsi="Arial" w:cs="Arial"/>
          <w:sz w:val="24"/>
          <w:szCs w:val="24"/>
        </w:rPr>
        <w:t>La Cour Pénale  Internationale (C.P.I) a été créée en 1998 pour mettre fin à  l’impunité concernant les crimes graves. Il s’agit précisément, confor</w:t>
      </w:r>
      <w:r w:rsidR="00857A88">
        <w:rPr>
          <w:rFonts w:ascii="Arial" w:hAnsi="Arial" w:cs="Arial"/>
          <w:sz w:val="24"/>
          <w:szCs w:val="24"/>
        </w:rPr>
        <w:t>mément à l’article 05 du Statut de Rome</w:t>
      </w:r>
      <w:r>
        <w:rPr>
          <w:rFonts w:ascii="Arial" w:hAnsi="Arial" w:cs="Arial"/>
          <w:sz w:val="24"/>
          <w:szCs w:val="24"/>
        </w:rPr>
        <w:t xml:space="preserve">  des crimes de génocide, des crimes contre l’humanité, des crimes de guerre et du crime d’agression. Cependant, il est important de souligner qu’il incombe aux juridictions nationales, a priori, de juger ces crimes</w:t>
      </w:r>
      <w:r w:rsidR="00E74E67">
        <w:rPr>
          <w:rFonts w:ascii="Arial" w:hAnsi="Arial" w:cs="Arial"/>
          <w:sz w:val="24"/>
          <w:szCs w:val="24"/>
        </w:rPr>
        <w:t xml:space="preserve"> atroces. La CPI n’intervient </w:t>
      </w:r>
      <w:r>
        <w:rPr>
          <w:rFonts w:ascii="Arial" w:hAnsi="Arial" w:cs="Arial"/>
          <w:sz w:val="24"/>
          <w:szCs w:val="24"/>
        </w:rPr>
        <w:t>que</w:t>
      </w:r>
      <w:r w:rsidR="00E74E67">
        <w:rPr>
          <w:rFonts w:ascii="Arial" w:hAnsi="Arial" w:cs="Arial"/>
          <w:sz w:val="24"/>
          <w:szCs w:val="24"/>
        </w:rPr>
        <w:t xml:space="preserve"> lorsque les justices nationales </w:t>
      </w:r>
      <w:r w:rsidR="00C41B92">
        <w:rPr>
          <w:rFonts w:ascii="Arial" w:hAnsi="Arial" w:cs="Arial"/>
          <w:sz w:val="24"/>
          <w:szCs w:val="24"/>
        </w:rPr>
        <w:t>n’ont pas la volonté et ou la capacité de prendre en charge les crimes définis par le Statut de Rome.</w:t>
      </w:r>
    </w:p>
    <w:p w:rsidR="00072523" w:rsidRDefault="00072523" w:rsidP="00072523">
      <w:pPr>
        <w:spacing w:line="240" w:lineRule="auto"/>
        <w:jc w:val="both"/>
        <w:rPr>
          <w:rFonts w:ascii="Arial" w:hAnsi="Arial" w:cs="Arial"/>
          <w:sz w:val="24"/>
          <w:szCs w:val="24"/>
        </w:rPr>
      </w:pPr>
      <w:r>
        <w:rPr>
          <w:rFonts w:ascii="Arial" w:hAnsi="Arial" w:cs="Arial"/>
          <w:sz w:val="24"/>
          <w:szCs w:val="24"/>
        </w:rPr>
        <w:t>La base légale de la complémentarité se trouve au niveau de l’article 01 du Statut.</w:t>
      </w:r>
      <w:r w:rsidR="00C41B92">
        <w:rPr>
          <w:rFonts w:ascii="Arial" w:hAnsi="Arial" w:cs="Arial"/>
          <w:sz w:val="24"/>
          <w:szCs w:val="24"/>
        </w:rPr>
        <w:t xml:space="preserve"> Ce texte dispose</w:t>
      </w:r>
      <w:r w:rsidR="00857A88">
        <w:rPr>
          <w:rFonts w:ascii="Arial" w:hAnsi="Arial" w:cs="Arial"/>
          <w:sz w:val="24"/>
          <w:szCs w:val="24"/>
        </w:rPr>
        <w:t xml:space="preserve"> que </w:t>
      </w:r>
      <w:r>
        <w:rPr>
          <w:rFonts w:ascii="Arial" w:hAnsi="Arial" w:cs="Arial"/>
          <w:sz w:val="24"/>
          <w:szCs w:val="24"/>
        </w:rPr>
        <w:t xml:space="preserve">: </w:t>
      </w:r>
      <w:r>
        <w:rPr>
          <w:rFonts w:ascii="Arial" w:hAnsi="Arial" w:cs="Arial"/>
          <w:b/>
          <w:sz w:val="24"/>
          <w:szCs w:val="24"/>
        </w:rPr>
        <w:t>« Il est créé une Cour Pénale Internationale, en tant qu’institution permanente,  qui peut exercer sa compétence à l’égard des personnes  pour les crimes les plus graves ayant une portée internationale au sens du présent statut. Elle est complémentaire des juridictions pénales nationales. Sa compétence et son fonctionnement sont régis par les dispositions du présent Statut ».</w:t>
      </w:r>
    </w:p>
    <w:p w:rsidR="0030754C" w:rsidRDefault="00E510F7" w:rsidP="0030754C">
      <w:pPr>
        <w:spacing w:line="240" w:lineRule="auto"/>
        <w:jc w:val="both"/>
        <w:rPr>
          <w:rFonts w:ascii="Arial" w:eastAsiaTheme="minorEastAsia" w:hAnsi="Arial" w:cs="Arial"/>
          <w:b/>
          <w:sz w:val="24"/>
          <w:szCs w:val="24"/>
          <w:lang w:eastAsia="fr-FR"/>
        </w:rPr>
      </w:pPr>
      <w:r>
        <w:rPr>
          <w:rFonts w:ascii="Arial" w:hAnsi="Arial" w:cs="Arial"/>
          <w:sz w:val="24"/>
          <w:szCs w:val="24"/>
        </w:rPr>
        <w:t>L</w:t>
      </w:r>
      <w:r w:rsidR="00072523">
        <w:rPr>
          <w:rFonts w:ascii="Arial" w:hAnsi="Arial" w:cs="Arial"/>
          <w:sz w:val="24"/>
          <w:szCs w:val="24"/>
        </w:rPr>
        <w:t>a</w:t>
      </w:r>
      <w:r w:rsidR="00826748">
        <w:rPr>
          <w:rFonts w:ascii="Arial" w:hAnsi="Arial" w:cs="Arial"/>
          <w:sz w:val="24"/>
          <w:szCs w:val="24"/>
        </w:rPr>
        <w:t xml:space="preserve"> </w:t>
      </w:r>
      <w:r w:rsidR="00826748" w:rsidRPr="00826748">
        <w:rPr>
          <w:rFonts w:ascii="Arial" w:hAnsi="Arial" w:cs="Arial"/>
          <w:b/>
          <w:sz w:val="24"/>
          <w:szCs w:val="24"/>
        </w:rPr>
        <w:t xml:space="preserve">CGCPI </w:t>
      </w:r>
      <w:r w:rsidR="00826748">
        <w:rPr>
          <w:rFonts w:ascii="Arial" w:hAnsi="Arial" w:cs="Arial"/>
          <w:sz w:val="24"/>
          <w:szCs w:val="24"/>
        </w:rPr>
        <w:t xml:space="preserve"> rappelle  que la c</w:t>
      </w:r>
      <w:r w:rsidR="00072523">
        <w:rPr>
          <w:rFonts w:ascii="Arial" w:hAnsi="Arial" w:cs="Arial"/>
          <w:sz w:val="24"/>
          <w:szCs w:val="24"/>
        </w:rPr>
        <w:t>omplémentarité oblige les Etats à accomplir leur devoir d’enquêtes et de poursuites envers les crimes les plus graves cités plus haut. Ici, il faut souligner que si les procédures nationales aboutissent,  elles permettent de restaurer la confiance envers les juridictions nationales. Il en est de l’affaire du 28 septembre 2009</w:t>
      </w:r>
      <w:r w:rsidR="00C14397">
        <w:rPr>
          <w:rFonts w:ascii="Arial" w:hAnsi="Arial" w:cs="Arial"/>
          <w:sz w:val="24"/>
          <w:szCs w:val="24"/>
        </w:rPr>
        <w:t>, si la justice guinéenne parvient à juger cette affaire</w:t>
      </w:r>
      <w:r w:rsidR="00072523">
        <w:rPr>
          <w:rFonts w:ascii="Arial" w:hAnsi="Arial" w:cs="Arial"/>
          <w:sz w:val="24"/>
          <w:szCs w:val="24"/>
        </w:rPr>
        <w:t>.</w:t>
      </w:r>
    </w:p>
    <w:p w:rsidR="00072523" w:rsidRDefault="00072523" w:rsidP="00072523">
      <w:pPr>
        <w:spacing w:line="240" w:lineRule="auto"/>
        <w:jc w:val="both"/>
        <w:rPr>
          <w:rFonts w:ascii="Arial" w:eastAsiaTheme="minorEastAsia" w:hAnsi="Arial" w:cs="Arial"/>
          <w:sz w:val="24"/>
          <w:szCs w:val="24"/>
          <w:lang w:eastAsia="fr-FR"/>
        </w:rPr>
      </w:pPr>
      <w:r>
        <w:rPr>
          <w:rFonts w:ascii="Arial" w:hAnsi="Arial" w:cs="Arial"/>
          <w:sz w:val="24"/>
          <w:szCs w:val="24"/>
        </w:rPr>
        <w:t xml:space="preserve">En considération des actes posés par la justice guinéenne, on peut </w:t>
      </w:r>
      <w:r w:rsidR="00826748">
        <w:rPr>
          <w:rFonts w:ascii="Arial" w:hAnsi="Arial" w:cs="Arial"/>
          <w:sz w:val="24"/>
          <w:szCs w:val="24"/>
        </w:rPr>
        <w:t xml:space="preserve">donc </w:t>
      </w:r>
      <w:r>
        <w:rPr>
          <w:rFonts w:ascii="Arial" w:hAnsi="Arial" w:cs="Arial"/>
          <w:sz w:val="24"/>
          <w:szCs w:val="24"/>
        </w:rPr>
        <w:t>so</w:t>
      </w:r>
      <w:r w:rsidR="00826748">
        <w:rPr>
          <w:rFonts w:ascii="Arial" w:hAnsi="Arial" w:cs="Arial"/>
          <w:sz w:val="24"/>
          <w:szCs w:val="24"/>
        </w:rPr>
        <w:t xml:space="preserve">utenir que </w:t>
      </w:r>
      <w:r w:rsidR="00826748">
        <w:rPr>
          <w:rFonts w:ascii="Arial" w:hAnsi="Arial" w:cs="Arial"/>
          <w:sz w:val="24"/>
          <w:szCs w:val="24"/>
        </w:rPr>
        <w:t>l’affaire</w:t>
      </w:r>
      <w:r w:rsidR="00826748">
        <w:rPr>
          <w:rFonts w:ascii="Arial" w:hAnsi="Arial" w:cs="Arial"/>
          <w:sz w:val="24"/>
          <w:szCs w:val="24"/>
        </w:rPr>
        <w:t xml:space="preserve"> des massacres </w:t>
      </w:r>
      <w:r w:rsidR="00826748">
        <w:rPr>
          <w:rFonts w:ascii="Arial" w:hAnsi="Arial" w:cs="Arial"/>
          <w:sz w:val="24"/>
          <w:szCs w:val="24"/>
        </w:rPr>
        <w:t>du 28 septembre 2009</w:t>
      </w:r>
      <w:r w:rsidR="00826748">
        <w:rPr>
          <w:rFonts w:ascii="Arial" w:hAnsi="Arial" w:cs="Arial"/>
          <w:sz w:val="24"/>
          <w:szCs w:val="24"/>
        </w:rPr>
        <w:t xml:space="preserve"> entre</w:t>
      </w:r>
      <w:r>
        <w:rPr>
          <w:rFonts w:ascii="Arial" w:hAnsi="Arial" w:cs="Arial"/>
          <w:sz w:val="24"/>
          <w:szCs w:val="24"/>
        </w:rPr>
        <w:t xml:space="preserve"> dans le cadre de la complémentarité, conformément à l’article 1 du Statut de Rome précité. </w:t>
      </w:r>
    </w:p>
    <w:p w:rsidR="00072523" w:rsidRDefault="00072523" w:rsidP="00072523">
      <w:pPr>
        <w:spacing w:line="240" w:lineRule="auto"/>
        <w:jc w:val="both"/>
        <w:rPr>
          <w:rFonts w:ascii="Arial" w:hAnsi="Arial" w:cs="Arial"/>
          <w:sz w:val="24"/>
          <w:szCs w:val="24"/>
        </w:rPr>
      </w:pPr>
      <w:r>
        <w:rPr>
          <w:rFonts w:ascii="Arial" w:hAnsi="Arial" w:cs="Arial"/>
          <w:sz w:val="24"/>
          <w:szCs w:val="24"/>
        </w:rPr>
        <w:t xml:space="preserve">Toutefois, pour que cette complémentarité soit parfaite, la tenue d’un procès juste, équitable et inclusif est indispensable. En d’autres termes, l’Etat guinéen doit continuer à faire preuve de capacité et de volonté pour juger l’affaire du 28 septembre 2009 afin qu’il ne tombe pas sous le coup de l’article 17 alinéa 1 du Statut de Rome qui prévoit que : </w:t>
      </w:r>
    </w:p>
    <w:p w:rsidR="00072523" w:rsidRDefault="00072523" w:rsidP="00072523">
      <w:pPr>
        <w:autoSpaceDE w:val="0"/>
        <w:autoSpaceDN w:val="0"/>
        <w:adjustRightInd w:val="0"/>
        <w:spacing w:after="0" w:line="240" w:lineRule="auto"/>
        <w:rPr>
          <w:rFonts w:ascii="Arial" w:hAnsi="Arial" w:cs="Arial"/>
          <w:b/>
          <w:sz w:val="24"/>
          <w:szCs w:val="24"/>
        </w:rPr>
      </w:pPr>
      <w:r>
        <w:rPr>
          <w:rFonts w:ascii="Arial" w:hAnsi="Arial" w:cs="Arial"/>
          <w:b/>
          <w:bCs/>
          <w:sz w:val="24"/>
          <w:szCs w:val="24"/>
        </w:rPr>
        <w:t>« </w:t>
      </w:r>
      <w:r>
        <w:rPr>
          <w:rFonts w:ascii="Arial" w:hAnsi="Arial" w:cs="Arial"/>
          <w:b/>
          <w:sz w:val="24"/>
          <w:szCs w:val="24"/>
        </w:rPr>
        <w:t xml:space="preserve"> Eu égard  au dixième  alinéa  du préambule et à l’article 1, une affaire est jugée irrecevable par la Cour lorsque: </w:t>
      </w:r>
    </w:p>
    <w:p w:rsidR="00072523" w:rsidRDefault="00072523" w:rsidP="00072523">
      <w:pPr>
        <w:autoSpaceDE w:val="0"/>
        <w:autoSpaceDN w:val="0"/>
        <w:adjustRightInd w:val="0"/>
        <w:spacing w:after="0" w:line="240" w:lineRule="auto"/>
        <w:rPr>
          <w:rFonts w:ascii="Arial" w:hAnsi="Arial" w:cs="Arial"/>
          <w:b/>
          <w:sz w:val="24"/>
          <w:szCs w:val="24"/>
        </w:rPr>
      </w:pPr>
      <w:proofErr w:type="gramStart"/>
      <w:r>
        <w:rPr>
          <w:rFonts w:ascii="Arial" w:hAnsi="Arial" w:cs="Arial"/>
          <w:b/>
          <w:sz w:val="24"/>
          <w:szCs w:val="24"/>
        </w:rPr>
        <w:t>a</w:t>
      </w:r>
      <w:proofErr w:type="gramEnd"/>
      <w:r>
        <w:rPr>
          <w:rFonts w:ascii="Arial" w:hAnsi="Arial" w:cs="Arial"/>
          <w:b/>
          <w:sz w:val="24"/>
          <w:szCs w:val="24"/>
        </w:rPr>
        <w:t>) l’affaire fait l’objet d’une enquête ou de poursuites de la part d’un Etat ayant compétence en l’espèce, à moins que cet Etat n’ait pas la volonté ou soit dans l’incapacité de mener véritablement à bien l’enquête ou les poursuites ».</w:t>
      </w:r>
    </w:p>
    <w:p w:rsidR="00072523" w:rsidRDefault="00072523" w:rsidP="00072523">
      <w:pPr>
        <w:autoSpaceDE w:val="0"/>
        <w:autoSpaceDN w:val="0"/>
        <w:adjustRightInd w:val="0"/>
        <w:spacing w:after="0" w:line="240" w:lineRule="auto"/>
        <w:rPr>
          <w:rFonts w:ascii="Arial" w:hAnsi="Arial" w:cs="Arial"/>
          <w:b/>
          <w:sz w:val="24"/>
          <w:szCs w:val="24"/>
        </w:rPr>
      </w:pPr>
    </w:p>
    <w:p w:rsidR="00072523" w:rsidRDefault="00880FE7" w:rsidP="00072523">
      <w:pPr>
        <w:spacing w:line="240" w:lineRule="auto"/>
        <w:jc w:val="both"/>
        <w:rPr>
          <w:rFonts w:ascii="Arial" w:eastAsiaTheme="minorEastAsia" w:hAnsi="Arial" w:cs="Arial"/>
          <w:sz w:val="24"/>
          <w:szCs w:val="24"/>
          <w:lang w:eastAsia="fr-FR"/>
        </w:rPr>
      </w:pPr>
      <w:r>
        <w:rPr>
          <w:rFonts w:ascii="Arial" w:hAnsi="Arial" w:cs="Arial"/>
          <w:sz w:val="24"/>
          <w:szCs w:val="24"/>
        </w:rPr>
        <w:t xml:space="preserve">On peut retenir donc </w:t>
      </w:r>
      <w:r w:rsidR="00E510F7">
        <w:rPr>
          <w:rFonts w:ascii="Arial" w:hAnsi="Arial" w:cs="Arial"/>
          <w:sz w:val="24"/>
          <w:szCs w:val="24"/>
        </w:rPr>
        <w:t xml:space="preserve"> </w:t>
      </w:r>
      <w:r>
        <w:rPr>
          <w:rFonts w:ascii="Arial" w:hAnsi="Arial" w:cs="Arial"/>
          <w:sz w:val="24"/>
          <w:szCs w:val="24"/>
        </w:rPr>
        <w:t xml:space="preserve"> du Statut de Rome, </w:t>
      </w:r>
      <w:r w:rsidR="00072523">
        <w:rPr>
          <w:rFonts w:ascii="Arial" w:hAnsi="Arial" w:cs="Arial"/>
          <w:sz w:val="24"/>
          <w:szCs w:val="24"/>
        </w:rPr>
        <w:t xml:space="preserve">que la CPI est une juridiction de dernier recours et que ce sont les juridictions nationales qui ont un grand rôle à jouer. </w:t>
      </w:r>
    </w:p>
    <w:p w:rsidR="003F4ECA" w:rsidRDefault="003F4ECA" w:rsidP="003F4ECA">
      <w:pPr>
        <w:pStyle w:val="yiv4480593869msonormal"/>
        <w:shd w:val="clear" w:color="auto" w:fill="FFFFFF"/>
        <w:jc w:val="both"/>
        <w:rPr>
          <w:rFonts w:ascii="Arial" w:hAnsi="Arial" w:cs="Arial"/>
        </w:rPr>
      </w:pPr>
      <w:r>
        <w:rPr>
          <w:rFonts w:ascii="Arial" w:hAnsi="Arial" w:cs="Arial"/>
          <w:color w:val="1D2228"/>
        </w:rPr>
        <w:lastRenderedPageBreak/>
        <w:t>Par ailleurs, il faut souligner que l</w:t>
      </w:r>
      <w:r>
        <w:rPr>
          <w:rFonts w:ascii="Arial" w:hAnsi="Arial" w:cs="Arial"/>
          <w:color w:val="1D2228"/>
          <w:shd w:val="clear" w:color="auto" w:fill="FFFFFF"/>
        </w:rPr>
        <w:t xml:space="preserve">e Continent africain et particulièrement </w:t>
      </w:r>
      <w:r w:rsidR="00A5476A">
        <w:rPr>
          <w:rFonts w:ascii="Arial" w:hAnsi="Arial" w:cs="Arial"/>
          <w:color w:val="1D2228"/>
          <w:shd w:val="clear" w:color="auto" w:fill="FFFFFF"/>
        </w:rPr>
        <w:t xml:space="preserve">les pays </w:t>
      </w:r>
      <w:r>
        <w:rPr>
          <w:rFonts w:ascii="Arial" w:hAnsi="Arial" w:cs="Arial"/>
          <w:color w:val="1D2228"/>
          <w:shd w:val="clear" w:color="auto" w:fill="FFFFFF"/>
        </w:rPr>
        <w:t xml:space="preserve"> francophone</w:t>
      </w:r>
      <w:r w:rsidR="00A5476A">
        <w:rPr>
          <w:rFonts w:ascii="Arial" w:hAnsi="Arial" w:cs="Arial"/>
          <w:color w:val="1D2228"/>
          <w:shd w:val="clear" w:color="auto" w:fill="FFFFFF"/>
        </w:rPr>
        <w:t xml:space="preserve">s sont ceux </w:t>
      </w:r>
      <w:r>
        <w:rPr>
          <w:rFonts w:ascii="Arial" w:hAnsi="Arial" w:cs="Arial"/>
          <w:color w:val="1D2228"/>
          <w:shd w:val="clear" w:color="auto" w:fill="FFFFFF"/>
        </w:rPr>
        <w:t>où se situe</w:t>
      </w:r>
      <w:r w:rsidR="00A5476A">
        <w:rPr>
          <w:rFonts w:ascii="Arial" w:hAnsi="Arial" w:cs="Arial"/>
          <w:color w:val="1D2228"/>
          <w:shd w:val="clear" w:color="auto" w:fill="FFFFFF"/>
        </w:rPr>
        <w:t xml:space="preserve">nt </w:t>
      </w:r>
      <w:r w:rsidR="00047A29">
        <w:rPr>
          <w:rFonts w:ascii="Arial" w:hAnsi="Arial" w:cs="Arial"/>
          <w:color w:val="1D2228"/>
          <w:shd w:val="clear" w:color="auto" w:fill="FFFFFF"/>
        </w:rPr>
        <w:t xml:space="preserve"> le plus grand nombre   de cas  en situation</w:t>
      </w:r>
      <w:r w:rsidR="00394396">
        <w:rPr>
          <w:rFonts w:ascii="Arial" w:hAnsi="Arial" w:cs="Arial"/>
          <w:color w:val="1D2228"/>
          <w:shd w:val="clear" w:color="auto" w:fill="FFFFFF"/>
        </w:rPr>
        <w:t xml:space="preserve"> au niveau de la CPI</w:t>
      </w:r>
      <w:r w:rsidR="00047A29">
        <w:rPr>
          <w:rFonts w:ascii="Arial" w:hAnsi="Arial" w:cs="Arial"/>
          <w:color w:val="1D2228"/>
          <w:shd w:val="clear" w:color="auto" w:fill="FFFFFF"/>
        </w:rPr>
        <w:t xml:space="preserve">. C’est pourquoi, la CGCPI fonde un grand espoir sur le </w:t>
      </w:r>
      <w:r>
        <w:rPr>
          <w:rFonts w:ascii="Arial" w:hAnsi="Arial" w:cs="Arial"/>
        </w:rPr>
        <w:t xml:space="preserve"> nouveau procureur</w:t>
      </w:r>
      <w:r w:rsidR="00A15AAE">
        <w:rPr>
          <w:rFonts w:ascii="Arial" w:hAnsi="Arial" w:cs="Arial"/>
        </w:rPr>
        <w:t xml:space="preserve"> </w:t>
      </w:r>
      <w:r w:rsidR="00A15AAE">
        <w:rPr>
          <w:rFonts w:ascii="Arial" w:hAnsi="Arial" w:cs="Arial"/>
          <w:b/>
          <w:bCs/>
          <w:color w:val="1D2228"/>
        </w:rPr>
        <w:t>Monsieur</w:t>
      </w:r>
      <w:r w:rsidR="00A15AAE">
        <w:rPr>
          <w:rFonts w:ascii="Arial" w:hAnsi="Arial" w:cs="Arial"/>
          <w:b/>
          <w:bCs/>
          <w:color w:val="1D2228"/>
        </w:rPr>
        <w:t xml:space="preserve"> Karim Asad Ahmad Khan</w:t>
      </w:r>
      <w:r w:rsidR="00A15AAE">
        <w:rPr>
          <w:rFonts w:ascii="Arial" w:hAnsi="Arial" w:cs="Arial"/>
        </w:rPr>
        <w:t xml:space="preserve">  </w:t>
      </w:r>
      <w:r w:rsidRPr="00A15AAE">
        <w:rPr>
          <w:rFonts w:ascii="Arial" w:hAnsi="Arial" w:cs="Arial"/>
          <w:bCs/>
        </w:rPr>
        <w:t>afin d’apporter des solutions qui puissent soulager les milliers de victimes et ainsi redorer l’image et la crédibilité de la CPI en Afrique</w:t>
      </w:r>
      <w:r w:rsidRPr="00A15AAE">
        <w:rPr>
          <w:rFonts w:ascii="Arial" w:hAnsi="Arial" w:cs="Arial"/>
        </w:rPr>
        <w:t>.</w:t>
      </w:r>
    </w:p>
    <w:p w:rsidR="000D2721" w:rsidRDefault="00D61690" w:rsidP="003F4ECA">
      <w:pPr>
        <w:pStyle w:val="yiv4480593869msonormal"/>
        <w:shd w:val="clear" w:color="auto" w:fill="FFFFFF"/>
        <w:jc w:val="both"/>
        <w:rPr>
          <w:rFonts w:ascii="Arial" w:hAnsi="Arial" w:cs="Arial"/>
        </w:rPr>
      </w:pPr>
      <w:r>
        <w:rPr>
          <w:rFonts w:ascii="Arial" w:hAnsi="Arial" w:cs="Arial"/>
        </w:rPr>
        <w:t>En considération de ce qui précède, la Coalition Guinéenne pour la Cour pénale</w:t>
      </w:r>
      <w:r w:rsidR="000D2721">
        <w:rPr>
          <w:rFonts w:ascii="Arial" w:hAnsi="Arial" w:cs="Arial"/>
        </w:rPr>
        <w:t xml:space="preserve"> demande :</w:t>
      </w:r>
    </w:p>
    <w:p w:rsidR="008A5A86" w:rsidRPr="008D0676" w:rsidRDefault="008A5A86" w:rsidP="003F4ECA">
      <w:pPr>
        <w:pStyle w:val="yiv4480593869msonormal"/>
        <w:shd w:val="clear" w:color="auto" w:fill="FFFFFF"/>
        <w:jc w:val="both"/>
        <w:rPr>
          <w:rFonts w:ascii="Arial" w:hAnsi="Arial" w:cs="Arial"/>
          <w:b/>
        </w:rPr>
      </w:pPr>
      <w:r w:rsidRPr="008D0676">
        <w:rPr>
          <w:rFonts w:ascii="Arial" w:hAnsi="Arial" w:cs="Arial"/>
          <w:b/>
        </w:rPr>
        <w:t xml:space="preserve">Au </w:t>
      </w:r>
      <w:r w:rsidR="00BC06BA">
        <w:rPr>
          <w:rFonts w:ascii="Arial" w:hAnsi="Arial" w:cs="Arial"/>
          <w:b/>
        </w:rPr>
        <w:t xml:space="preserve">nouveau </w:t>
      </w:r>
      <w:r w:rsidRPr="008D0676">
        <w:rPr>
          <w:rFonts w:ascii="Arial" w:hAnsi="Arial" w:cs="Arial"/>
          <w:b/>
        </w:rPr>
        <w:t xml:space="preserve">procureur de la CPI de : </w:t>
      </w:r>
    </w:p>
    <w:p w:rsidR="008A5A86" w:rsidRPr="007D733D" w:rsidRDefault="008A5A86" w:rsidP="003F4ECA">
      <w:pPr>
        <w:pStyle w:val="yiv4480593869msonormal"/>
        <w:shd w:val="clear" w:color="auto" w:fill="FFFFFF"/>
        <w:jc w:val="both"/>
        <w:rPr>
          <w:rFonts w:ascii="Arial" w:hAnsi="Arial" w:cs="Arial"/>
          <w:b/>
        </w:rPr>
      </w:pPr>
      <w:r w:rsidRPr="007D733D">
        <w:rPr>
          <w:rFonts w:ascii="Arial" w:hAnsi="Arial" w:cs="Arial"/>
          <w:b/>
        </w:rPr>
        <w:t>Tirer les leçons du passé et corriger les erreurs commises par les anciens procureurs,</w:t>
      </w:r>
    </w:p>
    <w:p w:rsidR="008A5A86" w:rsidRPr="007D733D" w:rsidRDefault="008A5A86" w:rsidP="003F4ECA">
      <w:pPr>
        <w:pStyle w:val="yiv4480593869msonormal"/>
        <w:shd w:val="clear" w:color="auto" w:fill="FFFFFF"/>
        <w:jc w:val="both"/>
        <w:rPr>
          <w:rFonts w:ascii="Arial" w:hAnsi="Arial" w:cs="Arial"/>
          <w:b/>
        </w:rPr>
      </w:pPr>
      <w:r w:rsidRPr="007D733D">
        <w:rPr>
          <w:rFonts w:ascii="Arial" w:hAnsi="Arial" w:cs="Arial"/>
          <w:b/>
        </w:rPr>
        <w:t>Mettre l’accent sur la durée et la stratégie  des enquêtes,</w:t>
      </w:r>
    </w:p>
    <w:p w:rsidR="008D0676" w:rsidRDefault="008A5A86" w:rsidP="003F4ECA">
      <w:pPr>
        <w:pStyle w:val="yiv4480593869msonormal"/>
        <w:shd w:val="clear" w:color="auto" w:fill="FFFFFF"/>
        <w:jc w:val="both"/>
        <w:rPr>
          <w:rFonts w:ascii="Arial" w:hAnsi="Arial" w:cs="Arial"/>
          <w:b/>
        </w:rPr>
      </w:pPr>
      <w:r w:rsidRPr="007D733D">
        <w:rPr>
          <w:rFonts w:ascii="Arial" w:hAnsi="Arial" w:cs="Arial"/>
          <w:b/>
        </w:rPr>
        <w:t>Etablir un véritable dialogue entre l’Union  Africaine et la Cour Pénale Internationale</w:t>
      </w:r>
    </w:p>
    <w:p w:rsidR="008D0676" w:rsidRDefault="008D0676" w:rsidP="008D0676">
      <w:pPr>
        <w:pStyle w:val="yiv4480593869msonormal"/>
        <w:shd w:val="clear" w:color="auto" w:fill="FFFFFF"/>
        <w:jc w:val="both"/>
        <w:rPr>
          <w:rFonts w:ascii="Arial" w:hAnsi="Arial" w:cs="Arial"/>
          <w:b/>
        </w:rPr>
      </w:pPr>
      <w:r>
        <w:rPr>
          <w:rFonts w:ascii="Arial" w:hAnsi="Arial" w:cs="Arial"/>
          <w:b/>
        </w:rPr>
        <w:t>Au gouvernement</w:t>
      </w:r>
      <w:r w:rsidR="00BB1CED">
        <w:rPr>
          <w:rFonts w:ascii="Arial" w:hAnsi="Arial" w:cs="Arial"/>
          <w:b/>
        </w:rPr>
        <w:t xml:space="preserve"> guinéen</w:t>
      </w:r>
      <w:r>
        <w:rPr>
          <w:rFonts w:ascii="Arial" w:hAnsi="Arial" w:cs="Arial"/>
          <w:b/>
        </w:rPr>
        <w:t xml:space="preserve"> de :</w:t>
      </w:r>
    </w:p>
    <w:p w:rsidR="007D733D" w:rsidRDefault="007D733D" w:rsidP="008D0676">
      <w:pPr>
        <w:pStyle w:val="yiv4480593869msonormal"/>
        <w:shd w:val="clear" w:color="auto" w:fill="FFFFFF"/>
        <w:jc w:val="both"/>
        <w:rPr>
          <w:rFonts w:ascii="Arial" w:hAnsi="Arial" w:cs="Arial"/>
          <w:b/>
        </w:rPr>
      </w:pPr>
      <w:r>
        <w:rPr>
          <w:rFonts w:ascii="Arial" w:hAnsi="Arial" w:cs="Arial"/>
          <w:b/>
        </w:rPr>
        <w:t>Prendre toutes les dispositions pour l’ouverture</w:t>
      </w:r>
      <w:r w:rsidR="00C40DF9">
        <w:rPr>
          <w:rFonts w:ascii="Arial" w:hAnsi="Arial" w:cs="Arial"/>
          <w:b/>
        </w:rPr>
        <w:t>,</w:t>
      </w:r>
      <w:r>
        <w:rPr>
          <w:rFonts w:ascii="Arial" w:hAnsi="Arial" w:cs="Arial"/>
          <w:b/>
        </w:rPr>
        <w:t xml:space="preserve"> dans les meilleurs délais</w:t>
      </w:r>
      <w:r w:rsidR="00C40DF9">
        <w:rPr>
          <w:rFonts w:ascii="Arial" w:hAnsi="Arial" w:cs="Arial"/>
          <w:b/>
        </w:rPr>
        <w:t xml:space="preserve">, </w:t>
      </w:r>
      <w:bookmarkStart w:id="0" w:name="_GoBack"/>
      <w:bookmarkEnd w:id="0"/>
      <w:r w:rsidR="00C40DF9">
        <w:rPr>
          <w:rFonts w:ascii="Arial" w:hAnsi="Arial" w:cs="Arial"/>
          <w:b/>
        </w:rPr>
        <w:t>du</w:t>
      </w:r>
      <w:r>
        <w:rPr>
          <w:rFonts w:ascii="Arial" w:hAnsi="Arial" w:cs="Arial"/>
          <w:b/>
        </w:rPr>
        <w:t xml:space="preserve"> procès des massacres du 28 septembre 2009</w:t>
      </w:r>
      <w:r w:rsidR="00BC06BA">
        <w:rPr>
          <w:rFonts w:ascii="Arial" w:hAnsi="Arial" w:cs="Arial"/>
          <w:b/>
        </w:rPr>
        <w:t>,</w:t>
      </w:r>
    </w:p>
    <w:p w:rsidR="00BC06BA" w:rsidRDefault="00BC06BA" w:rsidP="008D0676">
      <w:pPr>
        <w:pStyle w:val="yiv4480593869msonormal"/>
        <w:shd w:val="clear" w:color="auto" w:fill="FFFFFF"/>
        <w:jc w:val="both"/>
        <w:rPr>
          <w:rFonts w:ascii="Arial" w:hAnsi="Arial" w:cs="Arial"/>
          <w:b/>
        </w:rPr>
      </w:pPr>
      <w:r>
        <w:rPr>
          <w:rFonts w:ascii="Arial" w:hAnsi="Arial" w:cs="Arial"/>
          <w:b/>
        </w:rPr>
        <w:t xml:space="preserve">Mettre un mécanisme en place afin d’allouer une indemnisation provisoire des victimes des massacres du </w:t>
      </w:r>
      <w:r>
        <w:rPr>
          <w:rFonts w:ascii="Arial" w:hAnsi="Arial" w:cs="Arial"/>
          <w:b/>
        </w:rPr>
        <w:t>28 septembre 2009</w:t>
      </w:r>
      <w:r>
        <w:rPr>
          <w:rFonts w:ascii="Arial" w:hAnsi="Arial" w:cs="Arial"/>
          <w:b/>
        </w:rPr>
        <w:t>,</w:t>
      </w:r>
    </w:p>
    <w:p w:rsidR="00DF21DE" w:rsidRDefault="00DF21DE" w:rsidP="00DF21DE">
      <w:pPr>
        <w:pStyle w:val="yiv4480593869msonormal"/>
        <w:shd w:val="clear" w:color="auto" w:fill="FFFFFF"/>
        <w:jc w:val="both"/>
        <w:rPr>
          <w:rFonts w:ascii="Arial" w:hAnsi="Arial" w:cs="Arial"/>
          <w:b/>
        </w:rPr>
      </w:pPr>
      <w:r>
        <w:rPr>
          <w:rFonts w:ascii="Arial" w:hAnsi="Arial" w:cs="Arial"/>
          <w:b/>
        </w:rPr>
        <w:t xml:space="preserve">Aux partenaires bi et multilatéraux </w:t>
      </w:r>
      <w:r>
        <w:rPr>
          <w:rFonts w:ascii="Arial" w:hAnsi="Arial" w:cs="Arial"/>
          <w:b/>
        </w:rPr>
        <w:t>de :</w:t>
      </w:r>
    </w:p>
    <w:p w:rsidR="006C47FF" w:rsidRDefault="006C47FF" w:rsidP="00DF21DE">
      <w:pPr>
        <w:pStyle w:val="yiv4480593869msonormal"/>
        <w:shd w:val="clear" w:color="auto" w:fill="FFFFFF"/>
        <w:jc w:val="both"/>
        <w:rPr>
          <w:rFonts w:ascii="Arial" w:hAnsi="Arial" w:cs="Arial"/>
          <w:b/>
        </w:rPr>
      </w:pPr>
      <w:r>
        <w:rPr>
          <w:rFonts w:ascii="Arial" w:hAnsi="Arial" w:cs="Arial"/>
          <w:b/>
        </w:rPr>
        <w:t xml:space="preserve">Soutenir davantage la justice guinéenne pour la tenue du procès des </w:t>
      </w:r>
      <w:r>
        <w:rPr>
          <w:rFonts w:ascii="Arial" w:hAnsi="Arial" w:cs="Arial"/>
          <w:b/>
        </w:rPr>
        <w:t>massacres du 28 septembre 2009,</w:t>
      </w:r>
    </w:p>
    <w:p w:rsidR="00DF21DE" w:rsidRPr="008D0676" w:rsidRDefault="00DF21DE" w:rsidP="008D0676">
      <w:pPr>
        <w:pStyle w:val="yiv4480593869msonormal"/>
        <w:shd w:val="clear" w:color="auto" w:fill="FFFFFF"/>
        <w:jc w:val="both"/>
        <w:rPr>
          <w:rFonts w:ascii="Arial" w:hAnsi="Arial" w:cs="Arial"/>
          <w:b/>
        </w:rPr>
      </w:pPr>
    </w:p>
    <w:p w:rsidR="00072523" w:rsidRDefault="008A5A86" w:rsidP="00051A5B">
      <w:pPr>
        <w:pStyle w:val="yiv4480593869msonormal"/>
        <w:shd w:val="clear" w:color="auto" w:fill="FFFFFF"/>
        <w:jc w:val="right"/>
        <w:rPr>
          <w:rFonts w:ascii="Arial" w:hAnsi="Arial" w:cs="Arial"/>
        </w:rPr>
      </w:pPr>
      <w:r>
        <w:rPr>
          <w:rFonts w:ascii="Arial" w:hAnsi="Arial" w:cs="Arial"/>
        </w:rPr>
        <w:t xml:space="preserve"> </w:t>
      </w:r>
      <w:r w:rsidR="00E74E67">
        <w:rPr>
          <w:rFonts w:ascii="Arial" w:hAnsi="Arial" w:cs="Arial"/>
        </w:rPr>
        <w:t>Conakry, le 17 juillet  2021</w:t>
      </w:r>
    </w:p>
    <w:p w:rsidR="00072523" w:rsidRDefault="00072523" w:rsidP="00072523">
      <w:pPr>
        <w:spacing w:line="240" w:lineRule="auto"/>
        <w:jc w:val="right"/>
        <w:rPr>
          <w:rFonts w:ascii="Arial" w:hAnsi="Arial" w:cs="Arial"/>
          <w:sz w:val="24"/>
          <w:szCs w:val="24"/>
        </w:rPr>
      </w:pPr>
      <w:r>
        <w:rPr>
          <w:rFonts w:ascii="Arial" w:hAnsi="Arial" w:cs="Arial"/>
          <w:sz w:val="24"/>
          <w:szCs w:val="24"/>
        </w:rPr>
        <w:t>Pour le Bureau Exécutif National</w:t>
      </w:r>
    </w:p>
    <w:p w:rsidR="00072523" w:rsidRDefault="00072523" w:rsidP="00072523">
      <w:pPr>
        <w:spacing w:line="240" w:lineRule="auto"/>
        <w:jc w:val="right"/>
        <w:rPr>
          <w:rFonts w:ascii="Arial" w:hAnsi="Arial" w:cs="Arial"/>
          <w:sz w:val="24"/>
          <w:szCs w:val="24"/>
        </w:rPr>
      </w:pPr>
    </w:p>
    <w:p w:rsidR="00072523" w:rsidRDefault="00072523" w:rsidP="00072523">
      <w:pPr>
        <w:spacing w:line="240" w:lineRule="auto"/>
        <w:jc w:val="right"/>
        <w:rPr>
          <w:rFonts w:ascii="Arial" w:hAnsi="Arial" w:cs="Arial"/>
          <w:sz w:val="24"/>
          <w:szCs w:val="24"/>
        </w:rPr>
      </w:pPr>
      <w:r>
        <w:rPr>
          <w:rFonts w:ascii="Arial" w:hAnsi="Arial" w:cs="Arial"/>
          <w:sz w:val="24"/>
          <w:szCs w:val="24"/>
        </w:rPr>
        <w:t>Le Président</w:t>
      </w:r>
    </w:p>
    <w:p w:rsidR="00072523" w:rsidRDefault="00072523" w:rsidP="00072523">
      <w:pPr>
        <w:spacing w:line="240" w:lineRule="auto"/>
        <w:jc w:val="right"/>
        <w:rPr>
          <w:rFonts w:ascii="Arial" w:hAnsi="Arial" w:cs="Arial"/>
          <w:sz w:val="24"/>
          <w:szCs w:val="24"/>
        </w:rPr>
      </w:pPr>
      <w:r>
        <w:rPr>
          <w:rFonts w:ascii="Arial" w:hAnsi="Arial" w:cs="Arial"/>
          <w:sz w:val="24"/>
          <w:szCs w:val="24"/>
        </w:rPr>
        <w:t xml:space="preserve">Maitre </w:t>
      </w:r>
      <w:proofErr w:type="spellStart"/>
      <w:r>
        <w:rPr>
          <w:rFonts w:ascii="Arial" w:hAnsi="Arial" w:cs="Arial"/>
          <w:sz w:val="24"/>
          <w:szCs w:val="24"/>
        </w:rPr>
        <w:t>Hamidou</w:t>
      </w:r>
      <w:proofErr w:type="spellEnd"/>
      <w:r>
        <w:rPr>
          <w:rFonts w:ascii="Arial" w:hAnsi="Arial" w:cs="Arial"/>
          <w:sz w:val="24"/>
          <w:szCs w:val="24"/>
        </w:rPr>
        <w:t xml:space="preserve"> Barry </w:t>
      </w:r>
    </w:p>
    <w:p w:rsidR="00072523" w:rsidRDefault="00072523" w:rsidP="00072523">
      <w:pPr>
        <w:spacing w:line="240" w:lineRule="auto"/>
        <w:jc w:val="both"/>
        <w:rPr>
          <w:rFonts w:ascii="Arial" w:hAnsi="Arial" w:cs="Arial"/>
          <w:sz w:val="24"/>
          <w:szCs w:val="24"/>
        </w:rPr>
      </w:pPr>
      <w:r>
        <w:rPr>
          <w:rFonts w:ascii="Arial" w:hAnsi="Arial" w:cs="Arial"/>
          <w:sz w:val="24"/>
          <w:szCs w:val="24"/>
        </w:rPr>
        <w:t xml:space="preserve"> </w:t>
      </w:r>
    </w:p>
    <w:p w:rsidR="00072523" w:rsidRDefault="00072523" w:rsidP="00072523">
      <w:pPr>
        <w:spacing w:line="240" w:lineRule="auto"/>
        <w:jc w:val="both"/>
        <w:rPr>
          <w:rFonts w:ascii="Arial" w:hAnsi="Arial" w:cs="Arial"/>
          <w:b/>
          <w:sz w:val="24"/>
          <w:szCs w:val="24"/>
          <w:u w:val="single"/>
        </w:rPr>
      </w:pPr>
    </w:p>
    <w:p w:rsidR="00072523" w:rsidRDefault="00072523" w:rsidP="00072523">
      <w:pPr>
        <w:spacing w:line="240" w:lineRule="auto"/>
        <w:jc w:val="both"/>
        <w:rPr>
          <w:rFonts w:ascii="Arial" w:hAnsi="Arial" w:cs="Arial"/>
          <w:b/>
          <w:sz w:val="24"/>
          <w:szCs w:val="24"/>
          <w:u w:val="single"/>
        </w:rPr>
      </w:pPr>
    </w:p>
    <w:p w:rsidR="00072523" w:rsidRDefault="00072523" w:rsidP="00072523">
      <w:pPr>
        <w:spacing w:line="240" w:lineRule="auto"/>
        <w:jc w:val="both"/>
        <w:rPr>
          <w:rFonts w:ascii="Arial" w:hAnsi="Arial" w:cs="Arial"/>
          <w:b/>
          <w:sz w:val="24"/>
          <w:szCs w:val="24"/>
          <w:u w:val="single"/>
        </w:rPr>
      </w:pPr>
    </w:p>
    <w:p w:rsidR="005E3B90" w:rsidRDefault="005E3B90" w:rsidP="007002B2">
      <w:pPr>
        <w:jc w:val="right"/>
        <w:rPr>
          <w:rFonts w:ascii="Arial" w:hAnsi="Arial" w:cs="Arial"/>
          <w:sz w:val="24"/>
          <w:szCs w:val="24"/>
        </w:rPr>
      </w:pPr>
    </w:p>
    <w:p w:rsidR="00396B47" w:rsidRDefault="00396B47" w:rsidP="007002B2">
      <w:pPr>
        <w:jc w:val="right"/>
        <w:rPr>
          <w:rFonts w:ascii="Arial" w:hAnsi="Arial" w:cs="Arial"/>
          <w:sz w:val="24"/>
          <w:szCs w:val="24"/>
        </w:rPr>
      </w:pPr>
    </w:p>
    <w:p w:rsidR="00396B47" w:rsidRPr="007002B2" w:rsidRDefault="00396B47" w:rsidP="007002B2">
      <w:pPr>
        <w:jc w:val="right"/>
        <w:rPr>
          <w:rFonts w:ascii="Arial" w:hAnsi="Arial" w:cs="Arial"/>
          <w:sz w:val="24"/>
          <w:szCs w:val="24"/>
        </w:rPr>
      </w:pPr>
    </w:p>
    <w:sectPr w:rsidR="00396B47" w:rsidRPr="007002B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0F2" w:rsidRDefault="009630F2" w:rsidP="008B35FC">
      <w:pPr>
        <w:spacing w:after="0" w:line="240" w:lineRule="auto"/>
      </w:pPr>
      <w:r>
        <w:separator/>
      </w:r>
    </w:p>
  </w:endnote>
  <w:endnote w:type="continuationSeparator" w:id="0">
    <w:p w:rsidR="009630F2" w:rsidRDefault="009630F2" w:rsidP="008B3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5FC" w:rsidRDefault="008B35FC" w:rsidP="008B35FC">
    <w:pPr>
      <w:pStyle w:val="Titre1"/>
      <w:spacing w:line="360" w:lineRule="auto"/>
      <w:jc w:val="left"/>
      <w:rPr>
        <w:rFonts w:ascii="Arial Narrow" w:hAnsi="Arial Narrow"/>
        <w:i w:val="0"/>
        <w:sz w:val="22"/>
        <w:szCs w:val="22"/>
        <w:u w:val="none"/>
      </w:rPr>
    </w:pPr>
    <w:r>
      <w:rPr>
        <w:rFonts w:ascii="Arial Narrow" w:hAnsi="Arial Narrow"/>
        <w:i w:val="0"/>
        <w:noProof/>
        <w:sz w:val="22"/>
        <w:szCs w:val="22"/>
        <w:u w:val="none"/>
        <w:lang w:eastAsia="fr-FR"/>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90170</wp:posOffset>
              </wp:positionV>
              <wp:extent cx="6174105" cy="635"/>
              <wp:effectExtent l="19050" t="23495" r="17145" b="2349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63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AC999B7" id="_x0000_t32" coordsize="21600,21600" o:spt="32" o:oned="t" path="m,l21600,21600e" filled="f">
              <v:path arrowok="t" fillok="f" o:connecttype="none"/>
              <o:lock v:ext="edit" shapetype="t"/>
            </v:shapetype>
            <v:shape id="Connecteur droit avec flèche 1" o:spid="_x0000_s1026" type="#_x0000_t32" style="position:absolute;margin-left:-13.5pt;margin-top:7.1pt;width:486.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" strokecolor="black [3200]" strokeweight="2.5pt">
              <v:shadow color="#868686"/>
            </v:shape>
          </w:pict>
        </mc:Fallback>
      </mc:AlternateContent>
    </w:r>
  </w:p>
  <w:p w:rsidR="008B35FC" w:rsidRPr="00FC1B1A" w:rsidRDefault="008B35FC" w:rsidP="008B35FC">
    <w:pPr>
      <w:pStyle w:val="Titre1"/>
      <w:rPr>
        <w:rFonts w:ascii="Arial Narrow" w:hAnsi="Arial Narrow"/>
        <w:b w:val="0"/>
        <w:i w:val="0"/>
        <w:sz w:val="22"/>
        <w:szCs w:val="22"/>
        <w:u w:val="none"/>
      </w:rPr>
    </w:pPr>
    <w:r w:rsidRPr="00AD3492">
      <w:rPr>
        <w:rFonts w:ascii="Arial Narrow" w:hAnsi="Arial Narrow"/>
        <w:sz w:val="22"/>
        <w:szCs w:val="22"/>
      </w:rPr>
      <w:t>Siège</w:t>
    </w:r>
    <w:r w:rsidRPr="00AD3492">
      <w:rPr>
        <w:rFonts w:ascii="Arial Narrow" w:hAnsi="Arial Narrow"/>
        <w:sz w:val="22"/>
        <w:szCs w:val="22"/>
        <w:u w:val="none"/>
      </w:rPr>
      <w:t xml:space="preserve"> : </w:t>
    </w:r>
    <w:r w:rsidRPr="00AD3492">
      <w:rPr>
        <w:rFonts w:ascii="Arial Narrow" w:hAnsi="Arial Narrow"/>
        <w:b w:val="0"/>
        <w:sz w:val="22"/>
        <w:szCs w:val="22"/>
        <w:u w:val="none"/>
      </w:rPr>
      <w:t>CONAKRY</w:t>
    </w:r>
    <w:r w:rsidRPr="00AD3492">
      <w:rPr>
        <w:rFonts w:ascii="Arial Narrow" w:hAnsi="Arial Narrow"/>
        <w:sz w:val="22"/>
        <w:szCs w:val="22"/>
        <w:u w:val="none"/>
      </w:rPr>
      <w:t xml:space="preserve"> </w:t>
    </w:r>
    <w:r w:rsidRPr="00AD3492">
      <w:rPr>
        <w:rFonts w:ascii="Arial Narrow" w:hAnsi="Arial Narrow"/>
        <w:b w:val="0"/>
        <w:sz w:val="22"/>
        <w:szCs w:val="22"/>
        <w:u w:val="none"/>
      </w:rPr>
      <w:t xml:space="preserve">Quartier  </w:t>
    </w:r>
    <w:proofErr w:type="spellStart"/>
    <w:r w:rsidRPr="00AD3492">
      <w:rPr>
        <w:rFonts w:ascii="Arial Narrow" w:hAnsi="Arial Narrow"/>
        <w:b w:val="0"/>
        <w:sz w:val="22"/>
        <w:szCs w:val="22"/>
        <w:u w:val="none"/>
      </w:rPr>
      <w:t>Dixinn</w:t>
    </w:r>
    <w:proofErr w:type="spellEnd"/>
    <w:r w:rsidRPr="00AD3492">
      <w:rPr>
        <w:rFonts w:ascii="Arial Narrow" w:hAnsi="Arial Narrow"/>
        <w:b w:val="0"/>
        <w:sz w:val="22"/>
        <w:szCs w:val="22"/>
        <w:u w:val="none"/>
      </w:rPr>
      <w:t xml:space="preserve"> Bora-</w:t>
    </w:r>
    <w:r w:rsidRPr="008374A2">
      <w:rPr>
        <w:rFonts w:ascii="Arial Narrow" w:hAnsi="Arial Narrow"/>
        <w:b w:val="0"/>
        <w:i w:val="0"/>
        <w:sz w:val="22"/>
        <w:szCs w:val="22"/>
        <w:u w:val="none"/>
      </w:rPr>
      <w:t xml:space="preserve"> </w:t>
    </w:r>
    <w:r w:rsidRPr="00AD3492">
      <w:rPr>
        <w:rFonts w:ascii="Arial Narrow" w:hAnsi="Arial Narrow"/>
        <w:b w:val="0"/>
        <w:sz w:val="22"/>
        <w:szCs w:val="22"/>
        <w:u w:val="none"/>
      </w:rPr>
      <w:t xml:space="preserve">Commue  de </w:t>
    </w:r>
    <w:proofErr w:type="spellStart"/>
    <w:r w:rsidRPr="00AD3492">
      <w:rPr>
        <w:rFonts w:ascii="Arial Narrow" w:hAnsi="Arial Narrow"/>
        <w:b w:val="0"/>
        <w:sz w:val="22"/>
        <w:szCs w:val="22"/>
        <w:u w:val="none"/>
      </w:rPr>
      <w:t>Dixinn</w:t>
    </w:r>
    <w:proofErr w:type="spellEnd"/>
    <w:r w:rsidRPr="00AD3492">
      <w:rPr>
        <w:rFonts w:ascii="Arial Narrow" w:hAnsi="Arial Narrow"/>
        <w:b w:val="0"/>
        <w:sz w:val="22"/>
        <w:szCs w:val="22"/>
        <w:u w:val="none"/>
      </w:rPr>
      <w:t>–Conakry, Immeuble Abdoulaye BALDE, 3</w:t>
    </w:r>
    <w:r w:rsidRPr="00AD3492">
      <w:rPr>
        <w:rFonts w:ascii="Arial Narrow" w:hAnsi="Arial Narrow"/>
        <w:b w:val="0"/>
        <w:sz w:val="22"/>
        <w:szCs w:val="22"/>
        <w:u w:val="none"/>
        <w:vertAlign w:val="superscript"/>
      </w:rPr>
      <w:t>ème</w:t>
    </w:r>
    <w:r w:rsidRPr="00AD3492">
      <w:rPr>
        <w:rFonts w:ascii="Arial Narrow" w:hAnsi="Arial Narrow"/>
        <w:b w:val="0"/>
        <w:sz w:val="22"/>
        <w:szCs w:val="22"/>
        <w:u w:val="none"/>
      </w:rPr>
      <w:t xml:space="preserve">étage, Tél : +224-623-04-87-91,  Email : </w:t>
    </w:r>
    <w:hyperlink r:id="rId1" w:history="1">
      <w:r w:rsidRPr="006B20B3">
        <w:rPr>
          <w:rStyle w:val="Lienhypertexte"/>
          <w:rFonts w:ascii="Arial Narrow" w:hAnsi="Arial Narrow"/>
          <w:b w:val="0"/>
          <w:sz w:val="22"/>
          <w:szCs w:val="22"/>
        </w:rPr>
        <w:t>coaguicpi@gmail.com</w:t>
      </w:r>
    </w:hyperlink>
    <w:r>
      <w:rPr>
        <w:rFonts w:ascii="Arial Narrow" w:hAnsi="Arial Narrow"/>
        <w:b w:val="0"/>
        <w:sz w:val="22"/>
        <w:szCs w:val="22"/>
        <w:u w:val="none"/>
      </w:rPr>
      <w:t xml:space="preserve">, récépissé MATAP du 27 mars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0F2" w:rsidRDefault="009630F2" w:rsidP="008B35FC">
      <w:pPr>
        <w:spacing w:after="0" w:line="240" w:lineRule="auto"/>
      </w:pPr>
      <w:r>
        <w:separator/>
      </w:r>
    </w:p>
  </w:footnote>
  <w:footnote w:type="continuationSeparator" w:id="0">
    <w:p w:rsidR="009630F2" w:rsidRDefault="009630F2" w:rsidP="008B3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361DF2"/>
    <w:multiLevelType w:val="hybridMultilevel"/>
    <w:tmpl w:val="90B4E57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BF"/>
    <w:rsid w:val="000241AC"/>
    <w:rsid w:val="00047A29"/>
    <w:rsid w:val="00051A5B"/>
    <w:rsid w:val="00072523"/>
    <w:rsid w:val="00090C5F"/>
    <w:rsid w:val="000974A6"/>
    <w:rsid w:val="000D2721"/>
    <w:rsid w:val="00192DC0"/>
    <w:rsid w:val="0030754C"/>
    <w:rsid w:val="0032048B"/>
    <w:rsid w:val="00350E08"/>
    <w:rsid w:val="0036395F"/>
    <w:rsid w:val="003646F3"/>
    <w:rsid w:val="00394396"/>
    <w:rsid w:val="00396B47"/>
    <w:rsid w:val="003B655D"/>
    <w:rsid w:val="003F4ECA"/>
    <w:rsid w:val="004316C1"/>
    <w:rsid w:val="0048645E"/>
    <w:rsid w:val="004E4D19"/>
    <w:rsid w:val="005206A3"/>
    <w:rsid w:val="00544AA5"/>
    <w:rsid w:val="005A0961"/>
    <w:rsid w:val="005E3B90"/>
    <w:rsid w:val="005F4611"/>
    <w:rsid w:val="0061184D"/>
    <w:rsid w:val="00651D62"/>
    <w:rsid w:val="00651D7A"/>
    <w:rsid w:val="006C47FF"/>
    <w:rsid w:val="007002B2"/>
    <w:rsid w:val="00707A89"/>
    <w:rsid w:val="00720537"/>
    <w:rsid w:val="00746510"/>
    <w:rsid w:val="007C7C1A"/>
    <w:rsid w:val="007D733D"/>
    <w:rsid w:val="008031E1"/>
    <w:rsid w:val="00826748"/>
    <w:rsid w:val="00841B59"/>
    <w:rsid w:val="00857A88"/>
    <w:rsid w:val="00880FE7"/>
    <w:rsid w:val="008A5A86"/>
    <w:rsid w:val="008B35FC"/>
    <w:rsid w:val="008D0676"/>
    <w:rsid w:val="00917F51"/>
    <w:rsid w:val="009223D5"/>
    <w:rsid w:val="009630F2"/>
    <w:rsid w:val="00A15AAE"/>
    <w:rsid w:val="00A5290B"/>
    <w:rsid w:val="00A53E76"/>
    <w:rsid w:val="00A5476A"/>
    <w:rsid w:val="00AC1E5A"/>
    <w:rsid w:val="00B84EBA"/>
    <w:rsid w:val="00BA5011"/>
    <w:rsid w:val="00BB1CED"/>
    <w:rsid w:val="00BC06BA"/>
    <w:rsid w:val="00C14397"/>
    <w:rsid w:val="00C155BF"/>
    <w:rsid w:val="00C40DF9"/>
    <w:rsid w:val="00C41B92"/>
    <w:rsid w:val="00C44534"/>
    <w:rsid w:val="00D61045"/>
    <w:rsid w:val="00D61690"/>
    <w:rsid w:val="00D61898"/>
    <w:rsid w:val="00DB1A73"/>
    <w:rsid w:val="00DF21DE"/>
    <w:rsid w:val="00E510F7"/>
    <w:rsid w:val="00E74E67"/>
    <w:rsid w:val="00EA0CAC"/>
    <w:rsid w:val="00EC09CF"/>
    <w:rsid w:val="00EE0FF3"/>
    <w:rsid w:val="00F307CF"/>
    <w:rsid w:val="00F32449"/>
    <w:rsid w:val="00F355A4"/>
    <w:rsid w:val="00F508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F529BD-537C-4E76-90E5-534BA3EC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50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5011"/>
    <w:rPr>
      <w:rFonts w:ascii="Segoe UI" w:hAnsi="Segoe UI" w:cs="Segoe UI"/>
      <w:sz w:val="18"/>
      <w:szCs w:val="18"/>
    </w:rPr>
  </w:style>
  <w:style w:type="paragraph" w:styleId="En-tte">
    <w:name w:val="header"/>
    <w:basedOn w:val="Normal"/>
    <w:link w:val="En-tteCar"/>
    <w:uiPriority w:val="99"/>
    <w:unhideWhenUsed/>
    <w:rsid w:val="008B35FC"/>
    <w:pPr>
      <w:tabs>
        <w:tab w:val="center" w:pos="4536"/>
        <w:tab w:val="right" w:pos="9072"/>
      </w:tabs>
      <w:spacing w:after="0" w:line="240" w:lineRule="auto"/>
    </w:pPr>
  </w:style>
  <w:style w:type="character" w:customStyle="1" w:styleId="En-tteCar">
    <w:name w:val="En-tête Car"/>
    <w:basedOn w:val="Policepardfaut"/>
    <w:link w:val="En-tte"/>
    <w:uiPriority w:val="99"/>
    <w:rsid w:val="008B35FC"/>
  </w:style>
  <w:style w:type="paragraph" w:styleId="Pieddepage">
    <w:name w:val="footer"/>
    <w:basedOn w:val="Normal"/>
    <w:link w:val="PieddepageCar"/>
    <w:uiPriority w:val="99"/>
    <w:unhideWhenUsed/>
    <w:rsid w:val="008B35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35FC"/>
  </w:style>
  <w:style w:type="paragraph" w:customStyle="1" w:styleId="Titre1">
    <w:name w:val="Titre1"/>
    <w:basedOn w:val="Normal"/>
    <w:next w:val="Corpsdetexte"/>
    <w:rsid w:val="008B35FC"/>
    <w:pPr>
      <w:suppressAutoHyphens/>
      <w:spacing w:after="0" w:line="240" w:lineRule="auto"/>
      <w:jc w:val="center"/>
    </w:pPr>
    <w:rPr>
      <w:rFonts w:ascii="Arial" w:eastAsia="Times New Roman" w:hAnsi="Arial" w:cs="Arial"/>
      <w:b/>
      <w:i/>
      <w:sz w:val="26"/>
      <w:szCs w:val="26"/>
      <w:u w:val="single"/>
      <w:lang w:eastAsia="zh-CN"/>
    </w:rPr>
  </w:style>
  <w:style w:type="character" w:styleId="Lienhypertexte">
    <w:name w:val="Hyperlink"/>
    <w:basedOn w:val="Policepardfaut"/>
    <w:uiPriority w:val="99"/>
    <w:unhideWhenUsed/>
    <w:rsid w:val="008B35FC"/>
    <w:rPr>
      <w:color w:val="0563C1" w:themeColor="hyperlink"/>
      <w:u w:val="single"/>
    </w:rPr>
  </w:style>
  <w:style w:type="paragraph" w:styleId="Corpsdetexte">
    <w:name w:val="Body Text"/>
    <w:basedOn w:val="Normal"/>
    <w:link w:val="CorpsdetexteCar"/>
    <w:uiPriority w:val="99"/>
    <w:semiHidden/>
    <w:unhideWhenUsed/>
    <w:rsid w:val="008B35FC"/>
    <w:pPr>
      <w:spacing w:after="120"/>
    </w:pPr>
  </w:style>
  <w:style w:type="character" w:customStyle="1" w:styleId="CorpsdetexteCar">
    <w:name w:val="Corps de texte Car"/>
    <w:basedOn w:val="Policepardfaut"/>
    <w:link w:val="Corpsdetexte"/>
    <w:uiPriority w:val="99"/>
    <w:semiHidden/>
    <w:rsid w:val="008B35FC"/>
  </w:style>
  <w:style w:type="paragraph" w:styleId="Paragraphedeliste">
    <w:name w:val="List Paragraph"/>
    <w:basedOn w:val="Normal"/>
    <w:uiPriority w:val="34"/>
    <w:qFormat/>
    <w:rsid w:val="00072523"/>
    <w:pPr>
      <w:spacing w:after="200" w:line="276" w:lineRule="auto"/>
      <w:ind w:left="720"/>
      <w:contextualSpacing/>
    </w:pPr>
    <w:rPr>
      <w:rFonts w:eastAsiaTheme="minorEastAsia"/>
      <w:lang w:eastAsia="fr-FR"/>
    </w:rPr>
  </w:style>
  <w:style w:type="paragraph" w:customStyle="1" w:styleId="yiv7470192824ydp1e93ebaeyiv3129220233msonormal">
    <w:name w:val="yiv7470192824ydp1e93ebaeyiv3129220233msonormal"/>
    <w:basedOn w:val="Normal"/>
    <w:rsid w:val="003F4EC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4480593869msonormal">
    <w:name w:val="yiv4480593869msonormal"/>
    <w:basedOn w:val="Normal"/>
    <w:rsid w:val="003F4EC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30229">
      <w:bodyDiv w:val="1"/>
      <w:marLeft w:val="0"/>
      <w:marRight w:val="0"/>
      <w:marTop w:val="0"/>
      <w:marBottom w:val="0"/>
      <w:divBdr>
        <w:top w:val="none" w:sz="0" w:space="0" w:color="auto"/>
        <w:left w:val="none" w:sz="0" w:space="0" w:color="auto"/>
        <w:bottom w:val="none" w:sz="0" w:space="0" w:color="auto"/>
        <w:right w:val="none" w:sz="0" w:space="0" w:color="auto"/>
      </w:divBdr>
    </w:div>
    <w:div w:id="19529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aguicpi@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3</Pages>
  <Words>630</Words>
  <Characters>3469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59</cp:revision>
  <cp:lastPrinted>2021-07-18T08:31:00Z</cp:lastPrinted>
  <dcterms:created xsi:type="dcterms:W3CDTF">2019-01-21T09:06:00Z</dcterms:created>
  <dcterms:modified xsi:type="dcterms:W3CDTF">2021-07-18T08:47:00Z</dcterms:modified>
</cp:coreProperties>
</file>